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F6" w:rsidRDefault="00B26CD3">
      <w:pPr>
        <w:pStyle w:val="3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ЧИСЛЕННОСТЬ НЕЗАНЯТЫХ И БЕЗРАБОТНЫХ ГРАЖДАН, СОСТОЯЩИХ</w:t>
      </w:r>
    </w:p>
    <w:p w:rsidR="00FB6DF6" w:rsidRDefault="00B26CD3">
      <w:pPr>
        <w:pStyle w:val="3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НА УЧЕТЕ В ГОСУДАРСТВЕННОЙ СЛУЖБЕ ЗАНЯТОСТИ НАСЕЛЕНИЯ</w:t>
      </w:r>
      <w:r>
        <w:rPr>
          <w:rFonts w:ascii="Arial" w:hAnsi="Arial"/>
          <w:b/>
          <w:sz w:val="22"/>
        </w:rPr>
        <w:br/>
        <w:t>ПО УЛЬЯНОВСКОЙ ОБЛАСТИ</w:t>
      </w:r>
    </w:p>
    <w:p w:rsidR="00FB6DF6" w:rsidRDefault="00B26CD3">
      <w:pPr>
        <w:pStyle w:val="33"/>
        <w:spacing w:after="12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конец месяца</w:t>
      </w:r>
    </w:p>
    <w:tbl>
      <w:tblPr>
        <w:tblStyle w:val="2-1"/>
        <w:tblW w:w="0" w:type="auto"/>
        <w:tblLayout w:type="fixed"/>
        <w:tblLook w:val="04A0"/>
      </w:tblPr>
      <w:tblGrid>
        <w:gridCol w:w="1501"/>
        <w:gridCol w:w="2237"/>
        <w:gridCol w:w="1887"/>
        <w:gridCol w:w="1887"/>
        <w:gridCol w:w="2057"/>
      </w:tblGrid>
      <w:tr w:rsidR="00FB6DF6">
        <w:trPr>
          <w:trHeight w:val="20"/>
          <w:tblHeader/>
        </w:trPr>
        <w:tc>
          <w:tcPr>
            <w:tcW w:w="1501" w:type="dxa"/>
            <w:vMerge w:val="restar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FB6DF6" w:rsidRDefault="00B26CD3">
            <w:pPr>
              <w:jc w:val="center"/>
            </w:pPr>
            <w:r>
              <w:t> </w:t>
            </w:r>
          </w:p>
        </w:tc>
        <w:tc>
          <w:tcPr>
            <w:tcW w:w="2237" w:type="dxa"/>
            <w:vMerge w:val="restart"/>
            <w:shd w:val="clear" w:color="auto" w:fill="FFFFFF" w:themeFill="background1"/>
          </w:tcPr>
          <w:p w:rsidR="00FB6DF6" w:rsidRDefault="00B26CD3">
            <w:pPr>
              <w:ind w:left="113"/>
            </w:pPr>
            <w:r>
              <w:t xml:space="preserve">Число незанятых граждан, состоящих на учете в службе </w:t>
            </w:r>
            <w:proofErr w:type="spellStart"/>
            <w:r>
              <w:t>занятости</w:t>
            </w:r>
            <w:proofErr w:type="gramStart"/>
            <w:r>
              <w:t>,ч</w:t>
            </w:r>
            <w:proofErr w:type="gramEnd"/>
            <w:r>
              <w:t>еловек</w:t>
            </w:r>
            <w:proofErr w:type="spellEnd"/>
          </w:p>
        </w:tc>
        <w:tc>
          <w:tcPr>
            <w:tcW w:w="5831" w:type="dxa"/>
            <w:gridSpan w:val="3"/>
            <w:shd w:val="clear" w:color="auto" w:fill="FFFFFF" w:themeFill="background1"/>
          </w:tcPr>
          <w:p w:rsidR="00FB6DF6" w:rsidRDefault="00B26CD3">
            <w:pPr>
              <w:jc w:val="center"/>
            </w:pPr>
            <w:r>
              <w:t>Из них имеют статус безработного</w:t>
            </w:r>
          </w:p>
        </w:tc>
      </w:tr>
      <w:tr w:rsidR="00FB6DF6">
        <w:trPr>
          <w:trHeight w:val="20"/>
          <w:tblHeader/>
        </w:trPr>
        <w:tc>
          <w:tcPr>
            <w:tcW w:w="1501" w:type="dxa"/>
            <w:vMerge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FB6DF6" w:rsidRDefault="00FB6DF6"/>
        </w:tc>
        <w:tc>
          <w:tcPr>
            <w:tcW w:w="2237" w:type="dxa"/>
            <w:vMerge/>
            <w:shd w:val="clear" w:color="auto" w:fill="FFFFFF" w:themeFill="background1"/>
          </w:tcPr>
          <w:p w:rsidR="00FB6DF6" w:rsidRDefault="00FB6DF6"/>
        </w:tc>
        <w:tc>
          <w:tcPr>
            <w:tcW w:w="1887" w:type="dxa"/>
            <w:vMerge w:val="restart"/>
            <w:shd w:val="clear" w:color="auto" w:fill="FFFFFF" w:themeFill="background1"/>
          </w:tcPr>
          <w:p w:rsidR="00FB6DF6" w:rsidRDefault="00B26CD3">
            <w:pPr>
              <w:jc w:val="center"/>
              <w:rPr>
                <w:u w:val="single"/>
              </w:rPr>
            </w:pPr>
            <w:r>
              <w:t>человек</w:t>
            </w:r>
          </w:p>
        </w:tc>
        <w:tc>
          <w:tcPr>
            <w:tcW w:w="3944" w:type="dxa"/>
            <w:gridSpan w:val="2"/>
            <w:shd w:val="clear" w:color="auto" w:fill="FFFFFF" w:themeFill="background1"/>
          </w:tcPr>
          <w:p w:rsidR="00FB6DF6" w:rsidRDefault="00B26CD3">
            <w:pPr>
              <w:jc w:val="center"/>
            </w:pPr>
            <w:r>
              <w:t>в  %  к</w:t>
            </w:r>
          </w:p>
        </w:tc>
      </w:tr>
      <w:tr w:rsidR="00FB6DF6">
        <w:trPr>
          <w:trHeight w:val="20"/>
          <w:tblHeader/>
        </w:trPr>
        <w:tc>
          <w:tcPr>
            <w:tcW w:w="1501" w:type="dxa"/>
            <w:vMerge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FB6DF6" w:rsidRDefault="00FB6DF6"/>
        </w:tc>
        <w:tc>
          <w:tcPr>
            <w:tcW w:w="2237" w:type="dxa"/>
            <w:vMerge/>
            <w:shd w:val="clear" w:color="auto" w:fill="FFFFFF" w:themeFill="background1"/>
          </w:tcPr>
          <w:p w:rsidR="00FB6DF6" w:rsidRDefault="00FB6DF6"/>
        </w:tc>
        <w:tc>
          <w:tcPr>
            <w:tcW w:w="1887" w:type="dxa"/>
            <w:vMerge/>
            <w:shd w:val="clear" w:color="auto" w:fill="FFFFFF" w:themeFill="background1"/>
          </w:tcPr>
          <w:p w:rsidR="00FB6DF6" w:rsidRDefault="00FB6DF6"/>
        </w:tc>
        <w:tc>
          <w:tcPr>
            <w:tcW w:w="1887" w:type="dxa"/>
            <w:shd w:val="clear" w:color="auto" w:fill="FFFFFF" w:themeFill="background1"/>
          </w:tcPr>
          <w:p w:rsidR="00FB6DF6" w:rsidRDefault="00B26CD3">
            <w:pPr>
              <w:jc w:val="center"/>
            </w:pPr>
            <w:r>
              <w:t>предыдущему месяцу</w:t>
            </w:r>
          </w:p>
        </w:tc>
        <w:tc>
          <w:tcPr>
            <w:tcW w:w="2057" w:type="dxa"/>
            <w:shd w:val="clear" w:color="auto" w:fill="FFFFFF" w:themeFill="background1"/>
          </w:tcPr>
          <w:p w:rsidR="00FB6DF6" w:rsidRDefault="00B26CD3">
            <w:pPr>
              <w:ind w:left="113"/>
              <w:jc w:val="both"/>
            </w:pPr>
            <w:r>
              <w:t xml:space="preserve">соответствующему </w:t>
            </w:r>
            <w:r>
              <w:br/>
              <w:t>месяцу предыдущего года</w:t>
            </w:r>
          </w:p>
        </w:tc>
      </w:tr>
      <w:tr w:rsidR="00CC2767" w:rsidTr="0044541C">
        <w:trPr>
          <w:trHeight w:val="241"/>
        </w:trPr>
        <w:tc>
          <w:tcPr>
            <w:tcW w:w="9569" w:type="dxa"/>
            <w:gridSpan w:val="5"/>
            <w:tcBorders>
              <w:left w:val="single" w:sz="8" w:space="0" w:color="4F81BD" w:themeColor="accent1"/>
            </w:tcBorders>
          </w:tcPr>
          <w:p w:rsidR="00CC2767" w:rsidRDefault="00CC2767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 w:rsidR="00CC2767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CC2767" w:rsidRDefault="00CC2767">
            <w:pPr>
              <w:spacing w:after="120"/>
              <w:ind w:left="57"/>
              <w:jc w:val="both"/>
            </w:pPr>
            <w:r>
              <w:t>январь</w:t>
            </w:r>
          </w:p>
        </w:tc>
        <w:tc>
          <w:tcPr>
            <w:tcW w:w="2237" w:type="dxa"/>
            <w:vAlign w:val="bottom"/>
          </w:tcPr>
          <w:p w:rsidR="00CC2767" w:rsidRDefault="00CC2767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18581</w:t>
            </w:r>
          </w:p>
        </w:tc>
        <w:tc>
          <w:tcPr>
            <w:tcW w:w="1887" w:type="dxa"/>
            <w:vAlign w:val="bottom"/>
          </w:tcPr>
          <w:p w:rsidR="00CC2767" w:rsidRDefault="00CC2767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16506</w:t>
            </w:r>
          </w:p>
        </w:tc>
        <w:tc>
          <w:tcPr>
            <w:tcW w:w="1887" w:type="dxa"/>
            <w:vAlign w:val="bottom"/>
          </w:tcPr>
          <w:p w:rsidR="00CC2767" w:rsidRDefault="00CC2767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80,4</w:t>
            </w:r>
          </w:p>
        </w:tc>
        <w:tc>
          <w:tcPr>
            <w:tcW w:w="2057" w:type="dxa"/>
            <w:vAlign w:val="bottom"/>
          </w:tcPr>
          <w:p w:rsidR="00CC2767" w:rsidRDefault="00CC2767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в 5,7 р.</w:t>
            </w:r>
          </w:p>
        </w:tc>
      </w:tr>
      <w:tr w:rsidR="006B0045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6B0045" w:rsidRDefault="006B0045">
            <w:pPr>
              <w:spacing w:after="120"/>
              <w:ind w:left="57"/>
              <w:jc w:val="both"/>
            </w:pPr>
            <w:r>
              <w:t>февраль</w:t>
            </w:r>
          </w:p>
        </w:tc>
        <w:tc>
          <w:tcPr>
            <w:tcW w:w="2237" w:type="dxa"/>
            <w:vAlign w:val="bottom"/>
          </w:tcPr>
          <w:p w:rsidR="006B0045" w:rsidRDefault="006B0045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15419</w:t>
            </w:r>
          </w:p>
        </w:tc>
        <w:tc>
          <w:tcPr>
            <w:tcW w:w="1887" w:type="dxa"/>
            <w:vAlign w:val="bottom"/>
          </w:tcPr>
          <w:p w:rsidR="006B0045" w:rsidRDefault="006B0045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13197</w:t>
            </w:r>
          </w:p>
        </w:tc>
        <w:tc>
          <w:tcPr>
            <w:tcW w:w="1887" w:type="dxa"/>
            <w:vAlign w:val="bottom"/>
          </w:tcPr>
          <w:p w:rsidR="006B0045" w:rsidRDefault="006B0045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80,0</w:t>
            </w:r>
          </w:p>
        </w:tc>
        <w:tc>
          <w:tcPr>
            <w:tcW w:w="2057" w:type="dxa"/>
            <w:vAlign w:val="bottom"/>
          </w:tcPr>
          <w:p w:rsidR="006B0045" w:rsidRDefault="006B0045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в 4,4 р.</w:t>
            </w:r>
          </w:p>
        </w:tc>
      </w:tr>
      <w:tr w:rsidR="00A3772B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A3772B" w:rsidRDefault="00A3772B">
            <w:pPr>
              <w:spacing w:after="120"/>
              <w:ind w:left="57"/>
              <w:jc w:val="both"/>
            </w:pPr>
            <w:r>
              <w:t>март</w:t>
            </w:r>
          </w:p>
        </w:tc>
        <w:tc>
          <w:tcPr>
            <w:tcW w:w="2237" w:type="dxa"/>
            <w:vAlign w:val="bottom"/>
          </w:tcPr>
          <w:p w:rsidR="00A3772B" w:rsidRDefault="00A3772B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10718</w:t>
            </w:r>
          </w:p>
        </w:tc>
        <w:tc>
          <w:tcPr>
            <w:tcW w:w="1887" w:type="dxa"/>
            <w:vAlign w:val="bottom"/>
          </w:tcPr>
          <w:p w:rsidR="00A3772B" w:rsidRDefault="00A3772B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8682</w:t>
            </w:r>
          </w:p>
        </w:tc>
        <w:tc>
          <w:tcPr>
            <w:tcW w:w="1887" w:type="dxa"/>
            <w:vAlign w:val="bottom"/>
          </w:tcPr>
          <w:p w:rsidR="00A3772B" w:rsidRDefault="00A3772B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65,8</w:t>
            </w:r>
          </w:p>
        </w:tc>
        <w:tc>
          <w:tcPr>
            <w:tcW w:w="2057" w:type="dxa"/>
            <w:vAlign w:val="bottom"/>
          </w:tcPr>
          <w:p w:rsidR="00A3772B" w:rsidRDefault="00A3772B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в 3,0 р.</w:t>
            </w:r>
          </w:p>
        </w:tc>
      </w:tr>
      <w:tr w:rsidR="002B53DB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2B53DB" w:rsidRDefault="002B53DB">
            <w:pPr>
              <w:spacing w:after="120"/>
              <w:ind w:left="57"/>
              <w:jc w:val="both"/>
            </w:pPr>
            <w:r>
              <w:t>апрель</w:t>
            </w:r>
          </w:p>
        </w:tc>
        <w:tc>
          <w:tcPr>
            <w:tcW w:w="2237" w:type="dxa"/>
            <w:vAlign w:val="bottom"/>
          </w:tcPr>
          <w:p w:rsidR="002B53DB" w:rsidRDefault="002B53DB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8886</w:t>
            </w:r>
          </w:p>
        </w:tc>
        <w:tc>
          <w:tcPr>
            <w:tcW w:w="1887" w:type="dxa"/>
            <w:vAlign w:val="bottom"/>
          </w:tcPr>
          <w:p w:rsidR="002B53DB" w:rsidRDefault="002B53DB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6812</w:t>
            </w:r>
          </w:p>
        </w:tc>
        <w:tc>
          <w:tcPr>
            <w:tcW w:w="1887" w:type="dxa"/>
            <w:vAlign w:val="bottom"/>
          </w:tcPr>
          <w:p w:rsidR="002B53DB" w:rsidRDefault="002B53DB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78,5</w:t>
            </w:r>
          </w:p>
        </w:tc>
        <w:tc>
          <w:tcPr>
            <w:tcW w:w="2057" w:type="dxa"/>
            <w:vAlign w:val="bottom"/>
          </w:tcPr>
          <w:p w:rsidR="002B53DB" w:rsidRDefault="002B53DB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79,1</w:t>
            </w:r>
          </w:p>
        </w:tc>
      </w:tr>
      <w:tr w:rsidR="00766D26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766D26" w:rsidRDefault="00766D26">
            <w:pPr>
              <w:spacing w:after="120"/>
              <w:ind w:left="57"/>
              <w:jc w:val="both"/>
            </w:pPr>
            <w:r>
              <w:t>май</w:t>
            </w:r>
          </w:p>
        </w:tc>
        <w:tc>
          <w:tcPr>
            <w:tcW w:w="2237" w:type="dxa"/>
            <w:vAlign w:val="bottom"/>
          </w:tcPr>
          <w:p w:rsidR="00766D26" w:rsidRDefault="00766D26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7628</w:t>
            </w:r>
          </w:p>
        </w:tc>
        <w:tc>
          <w:tcPr>
            <w:tcW w:w="1887" w:type="dxa"/>
            <w:vAlign w:val="bottom"/>
          </w:tcPr>
          <w:p w:rsidR="00766D26" w:rsidRDefault="00766D26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5809</w:t>
            </w:r>
          </w:p>
        </w:tc>
        <w:tc>
          <w:tcPr>
            <w:tcW w:w="1887" w:type="dxa"/>
            <w:vAlign w:val="bottom"/>
          </w:tcPr>
          <w:p w:rsidR="00766D26" w:rsidRDefault="00766D26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85,3</w:t>
            </w:r>
          </w:p>
        </w:tc>
        <w:tc>
          <w:tcPr>
            <w:tcW w:w="2057" w:type="dxa"/>
            <w:vAlign w:val="bottom"/>
          </w:tcPr>
          <w:p w:rsidR="00766D26" w:rsidRDefault="00766D26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35,1</w:t>
            </w:r>
          </w:p>
        </w:tc>
      </w:tr>
      <w:tr w:rsidR="00DB789A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DB789A" w:rsidRDefault="00DB789A">
            <w:pPr>
              <w:spacing w:after="120"/>
              <w:ind w:left="57"/>
              <w:jc w:val="both"/>
            </w:pPr>
            <w:r>
              <w:t>июнь</w:t>
            </w:r>
          </w:p>
        </w:tc>
        <w:tc>
          <w:tcPr>
            <w:tcW w:w="2237" w:type="dxa"/>
            <w:vAlign w:val="bottom"/>
          </w:tcPr>
          <w:p w:rsidR="00DB789A" w:rsidRDefault="00DB789A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7391</w:t>
            </w:r>
          </w:p>
        </w:tc>
        <w:tc>
          <w:tcPr>
            <w:tcW w:w="1887" w:type="dxa"/>
            <w:vAlign w:val="bottom"/>
          </w:tcPr>
          <w:p w:rsidR="00DB789A" w:rsidRDefault="00DB789A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5260</w:t>
            </w:r>
          </w:p>
        </w:tc>
        <w:tc>
          <w:tcPr>
            <w:tcW w:w="1887" w:type="dxa"/>
            <w:vAlign w:val="bottom"/>
          </w:tcPr>
          <w:p w:rsidR="00DB789A" w:rsidRDefault="00DB789A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90,5</w:t>
            </w:r>
          </w:p>
        </w:tc>
        <w:tc>
          <w:tcPr>
            <w:tcW w:w="2057" w:type="dxa"/>
            <w:vAlign w:val="bottom"/>
          </w:tcPr>
          <w:p w:rsidR="00DB789A" w:rsidRDefault="00DB789A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23,8</w:t>
            </w:r>
          </w:p>
        </w:tc>
      </w:tr>
      <w:tr w:rsidR="008F2810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8F2810" w:rsidRDefault="008F2810">
            <w:pPr>
              <w:spacing w:after="120"/>
              <w:ind w:left="57"/>
              <w:jc w:val="both"/>
            </w:pPr>
            <w:r>
              <w:t>июль</w:t>
            </w:r>
          </w:p>
        </w:tc>
        <w:tc>
          <w:tcPr>
            <w:tcW w:w="2237" w:type="dxa"/>
            <w:vAlign w:val="bottom"/>
          </w:tcPr>
          <w:p w:rsidR="008F2810" w:rsidRDefault="008F2810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7168</w:t>
            </w:r>
          </w:p>
        </w:tc>
        <w:tc>
          <w:tcPr>
            <w:tcW w:w="1887" w:type="dxa"/>
            <w:vAlign w:val="bottom"/>
          </w:tcPr>
          <w:p w:rsidR="008F2810" w:rsidRDefault="008F2810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5206</w:t>
            </w:r>
          </w:p>
        </w:tc>
        <w:tc>
          <w:tcPr>
            <w:tcW w:w="1887" w:type="dxa"/>
            <w:vAlign w:val="bottom"/>
          </w:tcPr>
          <w:p w:rsidR="008F2810" w:rsidRDefault="008F2810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99,0</w:t>
            </w:r>
          </w:p>
        </w:tc>
        <w:tc>
          <w:tcPr>
            <w:tcW w:w="2057" w:type="dxa"/>
            <w:vAlign w:val="bottom"/>
          </w:tcPr>
          <w:p w:rsidR="008F2810" w:rsidRDefault="008F2810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18,9</w:t>
            </w:r>
          </w:p>
        </w:tc>
      </w:tr>
      <w:tr w:rsidR="002E3C10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2E3C10" w:rsidRDefault="002E3C10">
            <w:pPr>
              <w:spacing w:after="120"/>
              <w:ind w:left="57"/>
              <w:jc w:val="both"/>
            </w:pPr>
            <w:r>
              <w:t>август</w:t>
            </w:r>
          </w:p>
        </w:tc>
        <w:tc>
          <w:tcPr>
            <w:tcW w:w="2237" w:type="dxa"/>
            <w:vAlign w:val="bottom"/>
          </w:tcPr>
          <w:p w:rsidR="002E3C10" w:rsidRDefault="002E3C10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7162</w:t>
            </w:r>
          </w:p>
        </w:tc>
        <w:tc>
          <w:tcPr>
            <w:tcW w:w="1887" w:type="dxa"/>
            <w:vAlign w:val="bottom"/>
          </w:tcPr>
          <w:p w:rsidR="002E3C10" w:rsidRDefault="002E3C10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5036</w:t>
            </w:r>
          </w:p>
        </w:tc>
        <w:tc>
          <w:tcPr>
            <w:tcW w:w="1887" w:type="dxa"/>
            <w:vAlign w:val="bottom"/>
          </w:tcPr>
          <w:p w:rsidR="002E3C10" w:rsidRDefault="002E3C10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96,7</w:t>
            </w:r>
          </w:p>
        </w:tc>
        <w:tc>
          <w:tcPr>
            <w:tcW w:w="2057" w:type="dxa"/>
            <w:vAlign w:val="bottom"/>
          </w:tcPr>
          <w:p w:rsidR="002E3C10" w:rsidRDefault="002E3C10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16,1</w:t>
            </w:r>
          </w:p>
        </w:tc>
      </w:tr>
      <w:tr w:rsidR="00E2211D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E2211D" w:rsidRDefault="00E2211D">
            <w:pPr>
              <w:spacing w:after="120"/>
              <w:ind w:left="57"/>
              <w:jc w:val="both"/>
            </w:pPr>
            <w:r>
              <w:t>сентябрь</w:t>
            </w:r>
          </w:p>
        </w:tc>
        <w:tc>
          <w:tcPr>
            <w:tcW w:w="2237" w:type="dxa"/>
            <w:vAlign w:val="bottom"/>
          </w:tcPr>
          <w:p w:rsidR="00E2211D" w:rsidRDefault="00E2211D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6814</w:t>
            </w:r>
          </w:p>
        </w:tc>
        <w:tc>
          <w:tcPr>
            <w:tcW w:w="1887" w:type="dxa"/>
            <w:vAlign w:val="bottom"/>
          </w:tcPr>
          <w:p w:rsidR="00E2211D" w:rsidRDefault="00E2211D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4683</w:t>
            </w:r>
          </w:p>
        </w:tc>
        <w:tc>
          <w:tcPr>
            <w:tcW w:w="1887" w:type="dxa"/>
            <w:vAlign w:val="bottom"/>
          </w:tcPr>
          <w:p w:rsidR="00E2211D" w:rsidRDefault="00E2211D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93,0</w:t>
            </w:r>
          </w:p>
        </w:tc>
        <w:tc>
          <w:tcPr>
            <w:tcW w:w="2057" w:type="dxa"/>
            <w:vAlign w:val="bottom"/>
          </w:tcPr>
          <w:p w:rsidR="00E2211D" w:rsidRDefault="00E2211D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14,7</w:t>
            </w:r>
          </w:p>
        </w:tc>
      </w:tr>
      <w:tr w:rsidR="00CB7E6B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CB7E6B" w:rsidRDefault="00CB7E6B">
            <w:pPr>
              <w:spacing w:after="120"/>
              <w:ind w:left="57"/>
              <w:jc w:val="both"/>
            </w:pPr>
            <w:r>
              <w:t>октябрь</w:t>
            </w:r>
          </w:p>
        </w:tc>
        <w:tc>
          <w:tcPr>
            <w:tcW w:w="2237" w:type="dxa"/>
            <w:vAlign w:val="bottom"/>
          </w:tcPr>
          <w:p w:rsidR="00CB7E6B" w:rsidRDefault="00CB7E6B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6943</w:t>
            </w:r>
          </w:p>
        </w:tc>
        <w:tc>
          <w:tcPr>
            <w:tcW w:w="1887" w:type="dxa"/>
            <w:vAlign w:val="bottom"/>
          </w:tcPr>
          <w:p w:rsidR="00CB7E6B" w:rsidRDefault="00CB7E6B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4502</w:t>
            </w:r>
          </w:p>
        </w:tc>
        <w:tc>
          <w:tcPr>
            <w:tcW w:w="1887" w:type="dxa"/>
            <w:vAlign w:val="bottom"/>
          </w:tcPr>
          <w:p w:rsidR="00CB7E6B" w:rsidRDefault="00CB7E6B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96,1</w:t>
            </w:r>
          </w:p>
        </w:tc>
        <w:tc>
          <w:tcPr>
            <w:tcW w:w="2057" w:type="dxa"/>
            <w:vAlign w:val="bottom"/>
          </w:tcPr>
          <w:p w:rsidR="00CB7E6B" w:rsidRDefault="00CB7E6B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</w:tr>
      <w:tr w:rsidR="00431B51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431B51" w:rsidRDefault="00431B51">
            <w:pPr>
              <w:spacing w:after="120"/>
              <w:ind w:left="57"/>
              <w:jc w:val="both"/>
            </w:pPr>
            <w:r>
              <w:t>ноябрь</w:t>
            </w:r>
          </w:p>
        </w:tc>
        <w:tc>
          <w:tcPr>
            <w:tcW w:w="2237" w:type="dxa"/>
            <w:vAlign w:val="bottom"/>
          </w:tcPr>
          <w:p w:rsidR="00431B51" w:rsidRDefault="00431B51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6117</w:t>
            </w:r>
          </w:p>
        </w:tc>
        <w:tc>
          <w:tcPr>
            <w:tcW w:w="1887" w:type="dxa"/>
            <w:vAlign w:val="bottom"/>
          </w:tcPr>
          <w:p w:rsidR="00431B51" w:rsidRDefault="00431B51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4233</w:t>
            </w:r>
          </w:p>
        </w:tc>
        <w:tc>
          <w:tcPr>
            <w:tcW w:w="1887" w:type="dxa"/>
            <w:vAlign w:val="bottom"/>
          </w:tcPr>
          <w:p w:rsidR="00431B51" w:rsidRDefault="00431B5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94,0</w:t>
            </w:r>
          </w:p>
        </w:tc>
        <w:tc>
          <w:tcPr>
            <w:tcW w:w="2057" w:type="dxa"/>
            <w:vAlign w:val="bottom"/>
          </w:tcPr>
          <w:p w:rsidR="00431B51" w:rsidRDefault="00431B5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15,6</w:t>
            </w:r>
          </w:p>
        </w:tc>
      </w:tr>
      <w:tr w:rsidR="005343BF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5343BF" w:rsidRDefault="00703D09">
            <w:pPr>
              <w:spacing w:after="120"/>
              <w:ind w:left="57"/>
              <w:jc w:val="both"/>
            </w:pPr>
            <w:r>
              <w:t>д</w:t>
            </w:r>
            <w:r w:rsidR="005343BF">
              <w:t xml:space="preserve">екабрь </w:t>
            </w:r>
          </w:p>
        </w:tc>
        <w:tc>
          <w:tcPr>
            <w:tcW w:w="2237" w:type="dxa"/>
            <w:vAlign w:val="bottom"/>
          </w:tcPr>
          <w:p w:rsidR="005343BF" w:rsidRDefault="00703D09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4719</w:t>
            </w:r>
          </w:p>
        </w:tc>
        <w:tc>
          <w:tcPr>
            <w:tcW w:w="1887" w:type="dxa"/>
            <w:vAlign w:val="bottom"/>
          </w:tcPr>
          <w:p w:rsidR="005343BF" w:rsidRDefault="00703D09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3817</w:t>
            </w:r>
          </w:p>
        </w:tc>
        <w:tc>
          <w:tcPr>
            <w:tcW w:w="1887" w:type="dxa"/>
            <w:vAlign w:val="bottom"/>
          </w:tcPr>
          <w:p w:rsidR="005343BF" w:rsidRDefault="00703D09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90,2</w:t>
            </w:r>
          </w:p>
        </w:tc>
        <w:tc>
          <w:tcPr>
            <w:tcW w:w="2057" w:type="dxa"/>
            <w:vAlign w:val="bottom"/>
          </w:tcPr>
          <w:p w:rsidR="005343BF" w:rsidRDefault="00703D09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18,6</w:t>
            </w:r>
          </w:p>
        </w:tc>
      </w:tr>
      <w:tr w:rsidR="00E0494A" w:rsidTr="00FE7DF1">
        <w:trPr>
          <w:trHeight w:val="241"/>
        </w:trPr>
        <w:tc>
          <w:tcPr>
            <w:tcW w:w="9569" w:type="dxa"/>
            <w:gridSpan w:val="5"/>
            <w:tcBorders>
              <w:left w:val="single" w:sz="8" w:space="0" w:color="4F81BD" w:themeColor="accent1"/>
            </w:tcBorders>
          </w:tcPr>
          <w:p w:rsidR="00E0494A" w:rsidRDefault="00E0494A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</w:tr>
      <w:tr w:rsidR="00E0494A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E0494A" w:rsidRDefault="00E0494A" w:rsidP="00D95F69">
            <w:pPr>
              <w:spacing w:after="120"/>
              <w:ind w:left="57"/>
              <w:jc w:val="both"/>
            </w:pPr>
            <w:r>
              <w:t>январь</w:t>
            </w:r>
          </w:p>
        </w:tc>
        <w:tc>
          <w:tcPr>
            <w:tcW w:w="2237" w:type="dxa"/>
            <w:vAlign w:val="bottom"/>
          </w:tcPr>
          <w:p w:rsidR="00E0494A" w:rsidRDefault="00E0494A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4524</w:t>
            </w:r>
          </w:p>
        </w:tc>
        <w:tc>
          <w:tcPr>
            <w:tcW w:w="1887" w:type="dxa"/>
            <w:vAlign w:val="bottom"/>
          </w:tcPr>
          <w:p w:rsidR="00E0494A" w:rsidRDefault="00E0494A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3479</w:t>
            </w:r>
          </w:p>
        </w:tc>
        <w:tc>
          <w:tcPr>
            <w:tcW w:w="1887" w:type="dxa"/>
            <w:vAlign w:val="bottom"/>
          </w:tcPr>
          <w:p w:rsidR="00E0494A" w:rsidRDefault="00E0494A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91,1</w:t>
            </w:r>
          </w:p>
        </w:tc>
        <w:tc>
          <w:tcPr>
            <w:tcW w:w="2057" w:type="dxa"/>
            <w:vAlign w:val="bottom"/>
          </w:tcPr>
          <w:p w:rsidR="00E0494A" w:rsidRDefault="00E0494A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21,1</w:t>
            </w:r>
          </w:p>
        </w:tc>
      </w:tr>
    </w:tbl>
    <w:p w:rsidR="00FB6DF6" w:rsidRDefault="00FB6DF6">
      <w:pPr>
        <w:spacing w:after="120"/>
      </w:pPr>
    </w:p>
    <w:sectPr w:rsidR="00FB6DF6" w:rsidSect="00FB6DF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DF6"/>
    <w:rsid w:val="00036158"/>
    <w:rsid w:val="00064FD4"/>
    <w:rsid w:val="00074ED7"/>
    <w:rsid w:val="000F3F46"/>
    <w:rsid w:val="00112201"/>
    <w:rsid w:val="002B53DB"/>
    <w:rsid w:val="002E3C10"/>
    <w:rsid w:val="003A15DF"/>
    <w:rsid w:val="003F604E"/>
    <w:rsid w:val="00431B51"/>
    <w:rsid w:val="005343BF"/>
    <w:rsid w:val="006B0045"/>
    <w:rsid w:val="00703D09"/>
    <w:rsid w:val="00766D26"/>
    <w:rsid w:val="00836CAA"/>
    <w:rsid w:val="008F2810"/>
    <w:rsid w:val="00A3772B"/>
    <w:rsid w:val="00A5411A"/>
    <w:rsid w:val="00B26CD3"/>
    <w:rsid w:val="00B27CE5"/>
    <w:rsid w:val="00BE29D8"/>
    <w:rsid w:val="00CB7E6B"/>
    <w:rsid w:val="00CC2767"/>
    <w:rsid w:val="00DB789A"/>
    <w:rsid w:val="00E0494A"/>
    <w:rsid w:val="00E2211D"/>
    <w:rsid w:val="00EE672C"/>
    <w:rsid w:val="00F41B20"/>
    <w:rsid w:val="00FB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B6DF6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FB6DF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B6DF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B6DF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B6DF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B6DF6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B6DF6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FB6DF6"/>
    <w:pPr>
      <w:ind w:left="200"/>
    </w:pPr>
  </w:style>
  <w:style w:type="character" w:customStyle="1" w:styleId="22">
    <w:name w:val="Оглавление 2 Знак"/>
    <w:link w:val="21"/>
    <w:rsid w:val="00FB6DF6"/>
  </w:style>
  <w:style w:type="paragraph" w:styleId="41">
    <w:name w:val="toc 4"/>
    <w:next w:val="a"/>
    <w:link w:val="42"/>
    <w:uiPriority w:val="39"/>
    <w:rsid w:val="00FB6DF6"/>
    <w:pPr>
      <w:ind w:left="600"/>
    </w:pPr>
  </w:style>
  <w:style w:type="character" w:customStyle="1" w:styleId="42">
    <w:name w:val="Оглавление 4 Знак"/>
    <w:link w:val="41"/>
    <w:rsid w:val="00FB6DF6"/>
  </w:style>
  <w:style w:type="paragraph" w:styleId="6">
    <w:name w:val="toc 6"/>
    <w:next w:val="a"/>
    <w:link w:val="60"/>
    <w:uiPriority w:val="39"/>
    <w:rsid w:val="00FB6DF6"/>
    <w:pPr>
      <w:ind w:left="1000"/>
    </w:pPr>
  </w:style>
  <w:style w:type="character" w:customStyle="1" w:styleId="60">
    <w:name w:val="Оглавление 6 Знак"/>
    <w:link w:val="6"/>
    <w:rsid w:val="00FB6DF6"/>
  </w:style>
  <w:style w:type="paragraph" w:styleId="7">
    <w:name w:val="toc 7"/>
    <w:next w:val="a"/>
    <w:link w:val="70"/>
    <w:uiPriority w:val="39"/>
    <w:rsid w:val="00FB6DF6"/>
    <w:pPr>
      <w:ind w:left="1200"/>
    </w:pPr>
  </w:style>
  <w:style w:type="character" w:customStyle="1" w:styleId="70">
    <w:name w:val="Оглавление 7 Знак"/>
    <w:link w:val="7"/>
    <w:rsid w:val="00FB6DF6"/>
  </w:style>
  <w:style w:type="character" w:customStyle="1" w:styleId="30">
    <w:name w:val="Заголовок 3 Знак"/>
    <w:link w:val="3"/>
    <w:rsid w:val="00FB6DF6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FB6DF6"/>
    <w:pPr>
      <w:ind w:left="400"/>
    </w:pPr>
  </w:style>
  <w:style w:type="character" w:customStyle="1" w:styleId="32">
    <w:name w:val="Оглавление 3 Знак"/>
    <w:link w:val="31"/>
    <w:rsid w:val="00FB6DF6"/>
  </w:style>
  <w:style w:type="character" w:customStyle="1" w:styleId="50">
    <w:name w:val="Заголовок 5 Знак"/>
    <w:link w:val="5"/>
    <w:rsid w:val="00FB6DF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B6DF6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FB6DF6"/>
    <w:rPr>
      <w:color w:val="0000FF"/>
      <w:u w:val="single"/>
    </w:rPr>
  </w:style>
  <w:style w:type="character" w:styleId="a3">
    <w:name w:val="Hyperlink"/>
    <w:link w:val="12"/>
    <w:rsid w:val="00FB6DF6"/>
    <w:rPr>
      <w:color w:val="0000FF"/>
      <w:u w:val="single"/>
    </w:rPr>
  </w:style>
  <w:style w:type="paragraph" w:customStyle="1" w:styleId="Footnote">
    <w:name w:val="Footnote"/>
    <w:link w:val="Footnote0"/>
    <w:rsid w:val="00FB6DF6"/>
    <w:rPr>
      <w:rFonts w:ascii="XO Thames" w:hAnsi="XO Thames"/>
    </w:rPr>
  </w:style>
  <w:style w:type="character" w:customStyle="1" w:styleId="Footnote0">
    <w:name w:val="Footnote"/>
    <w:link w:val="Footnote"/>
    <w:rsid w:val="00FB6DF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B6DF6"/>
    <w:rPr>
      <w:rFonts w:ascii="XO Thames" w:hAnsi="XO Thames"/>
      <w:b/>
    </w:rPr>
  </w:style>
  <w:style w:type="character" w:customStyle="1" w:styleId="14">
    <w:name w:val="Оглавление 1 Знак"/>
    <w:link w:val="13"/>
    <w:rsid w:val="00FB6DF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B6DF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B6DF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B6DF6"/>
    <w:pPr>
      <w:ind w:left="1600"/>
    </w:pPr>
  </w:style>
  <w:style w:type="character" w:customStyle="1" w:styleId="90">
    <w:name w:val="Оглавление 9 Знак"/>
    <w:link w:val="9"/>
    <w:rsid w:val="00FB6DF6"/>
  </w:style>
  <w:style w:type="paragraph" w:styleId="33">
    <w:name w:val="Body Text 3"/>
    <w:basedOn w:val="a"/>
    <w:link w:val="34"/>
    <w:rsid w:val="00FB6DF6"/>
    <w:pPr>
      <w:jc w:val="both"/>
    </w:pPr>
    <w:rPr>
      <w:sz w:val="24"/>
    </w:rPr>
  </w:style>
  <w:style w:type="character" w:customStyle="1" w:styleId="34">
    <w:name w:val="Основной текст 3 Знак"/>
    <w:basedOn w:val="1"/>
    <w:link w:val="33"/>
    <w:rsid w:val="00FB6DF6"/>
    <w:rPr>
      <w:sz w:val="24"/>
    </w:rPr>
  </w:style>
  <w:style w:type="paragraph" w:styleId="8">
    <w:name w:val="toc 8"/>
    <w:next w:val="a"/>
    <w:link w:val="80"/>
    <w:uiPriority w:val="39"/>
    <w:rsid w:val="00FB6DF6"/>
    <w:pPr>
      <w:ind w:left="1400"/>
    </w:pPr>
  </w:style>
  <w:style w:type="character" w:customStyle="1" w:styleId="80">
    <w:name w:val="Оглавление 8 Знак"/>
    <w:link w:val="8"/>
    <w:rsid w:val="00FB6DF6"/>
  </w:style>
  <w:style w:type="paragraph" w:styleId="51">
    <w:name w:val="toc 5"/>
    <w:next w:val="a"/>
    <w:link w:val="52"/>
    <w:uiPriority w:val="39"/>
    <w:rsid w:val="00FB6DF6"/>
    <w:pPr>
      <w:ind w:left="800"/>
    </w:pPr>
  </w:style>
  <w:style w:type="character" w:customStyle="1" w:styleId="52">
    <w:name w:val="Оглавление 5 Знак"/>
    <w:link w:val="51"/>
    <w:rsid w:val="00FB6DF6"/>
  </w:style>
  <w:style w:type="paragraph" w:customStyle="1" w:styleId="15">
    <w:name w:val="Основной шрифт абзаца1"/>
    <w:link w:val="a4"/>
    <w:rsid w:val="00FB6DF6"/>
  </w:style>
  <w:style w:type="paragraph" w:styleId="a4">
    <w:name w:val="Subtitle"/>
    <w:next w:val="a"/>
    <w:link w:val="a5"/>
    <w:uiPriority w:val="11"/>
    <w:qFormat/>
    <w:rsid w:val="00FB6DF6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FB6D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B6DF6"/>
    <w:pPr>
      <w:ind w:left="1800"/>
    </w:pPr>
  </w:style>
  <w:style w:type="character" w:customStyle="1" w:styleId="toc100">
    <w:name w:val="toc 10"/>
    <w:link w:val="toc10"/>
    <w:rsid w:val="00FB6DF6"/>
  </w:style>
  <w:style w:type="paragraph" w:styleId="a6">
    <w:name w:val="Title"/>
    <w:next w:val="a"/>
    <w:link w:val="a7"/>
    <w:uiPriority w:val="10"/>
    <w:qFormat/>
    <w:rsid w:val="00FB6DF6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FB6DF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B6DF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B6DF6"/>
    <w:rPr>
      <w:rFonts w:ascii="XO Thames" w:hAnsi="XO Thames"/>
      <w:b/>
      <w:color w:val="00A0FF"/>
      <w:sz w:val="26"/>
    </w:rPr>
  </w:style>
  <w:style w:type="table" w:customStyle="1" w:styleId="-11">
    <w:name w:val="Светлая заливка - Акцент 11"/>
    <w:basedOn w:val="a1"/>
    <w:rsid w:val="00FB6DF6"/>
    <w:pPr>
      <w:spacing w:after="0" w:line="240" w:lineRule="auto"/>
    </w:pPr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Средний список 1 - Акцент 11"/>
    <w:basedOn w:val="a1"/>
    <w:rsid w:val="00FB6DF6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1"/>
    <w:rsid w:val="00FB6DF6"/>
    <w:pPr>
      <w:spacing w:after="0" w:line="240" w:lineRule="auto"/>
    </w:p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Grid 2 Accent 1"/>
    <w:basedOn w:val="a1"/>
    <w:rsid w:val="00FB6DF6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420 Отдел статистики труда</cp:lastModifiedBy>
  <cp:revision>16</cp:revision>
  <cp:lastPrinted>2022-02-17T04:55:00Z</cp:lastPrinted>
  <dcterms:created xsi:type="dcterms:W3CDTF">2021-01-29T04:14:00Z</dcterms:created>
  <dcterms:modified xsi:type="dcterms:W3CDTF">2022-02-17T04:55:00Z</dcterms:modified>
</cp:coreProperties>
</file>